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67" w:rsidRPr="00CE5167" w:rsidRDefault="00CE5167" w:rsidP="00CE5167">
      <w:pPr>
        <w:shd w:val="clear" w:color="auto" w:fill="FFFFFF"/>
        <w:spacing w:before="75" w:after="0" w:line="240" w:lineRule="auto"/>
        <w:outlineLvl w:val="2"/>
        <w:rPr>
          <w:rFonts w:ascii="Arial" w:eastAsia="Times New Roman" w:hAnsi="Arial" w:cs="Arial"/>
          <w:color w:val="B90808"/>
          <w:sz w:val="30"/>
          <w:szCs w:val="30"/>
          <w:lang w:eastAsia="cs-CZ"/>
        </w:rPr>
      </w:pPr>
      <w:r w:rsidRPr="00CE5167">
        <w:rPr>
          <w:rFonts w:ascii="Arial" w:eastAsia="Times New Roman" w:hAnsi="Arial" w:cs="Arial"/>
          <w:b/>
          <w:bCs/>
          <w:color w:val="B90808"/>
          <w:sz w:val="30"/>
          <w:szCs w:val="30"/>
          <w:lang w:eastAsia="cs-CZ"/>
        </w:rPr>
        <w:t>Hlavní překážky vstupu do Českého registru dárců krvetvorných buněk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Věnujte, prosím, pozornost níže uvedeným překážkám vstupu, které ale nejsou konečným výčtem všech kontraindikací dárcovství.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věk nad 40 let věku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· 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hmotnost pod 50 kg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alergie, která vyžaduje trvalou léčbu, celková alergická, anafylaktická reakce v anamnéze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astma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autoimunitní a systémové choroby - revmatické choroby, kolagenózy, vaskulitida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·       </w:t>
      </w:r>
      <w:proofErr w:type="spellStart"/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celiakie</w:t>
      </w:r>
      <w:proofErr w:type="spellEnd"/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cukrovka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cystická fibróza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chronická zánětlivá onemocnění střev - Crohnova choroba, ulcerózní kolitida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chování zvyšující riziko nákazy HIV nebo jiným infekčním onemocněním - užívání injekčních drog (i v minulosti); pohlavní styk s osobou, která drogy užívá; sexuální praktiky zvyšující riziko přenosu infekčního onemocnění, časté střídání sexuálních partnerů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nádorová onemocnění - prodělaná onkologická léčba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·       nákaza HIV nebo úzký kontakt s osobou infikovanou HIV nebo nemocným s AIDS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·       nevolnost a mdloby při běžných </w:t>
      </w:r>
      <w:proofErr w:type="gramStart"/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odběrech</w:t>
      </w:r>
      <w:proofErr w:type="gramEnd"/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·       neurologická onemocnění - epilepsie a jiná záchvatovitá onemocnění, závažná migréna, roztroušená skleróza, chronická </w:t>
      </w:r>
      <w:proofErr w:type="spellStart"/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neuroborelióza</w:t>
      </w:r>
      <w:proofErr w:type="spellEnd"/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·       onemocnění krve - anémie, </w:t>
      </w:r>
      <w:proofErr w:type="spellStart"/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trombofilní</w:t>
      </w:r>
      <w:proofErr w:type="spellEnd"/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mutace (Leidenská mutace a jiné), hemofilie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onemocnění srdce a cév - vysoký krevní tlak, prodělaná trombóza, myokarditida, endokarditida, perikarditida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onemocnění štítné žlázy - autoimunitní záněty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oční onemocnění - glaukom, záněty sítnice, retinopatie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prodělaná infekční žloutenka typu B nebo C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psoriáza (</w:t>
      </w:r>
      <w:proofErr w:type="gramStart"/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lupénka)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,vitiligo</w:t>
      </w:r>
      <w:proofErr w:type="gramEnd"/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psychiatrická onemocnění - deprese, schizofrenie, maniodepresivní psychóza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toxikomanie a alkoholismus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trvalé užívání léků (antikoncepce nevadí)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závažná obezita, BMI&gt;40 (BMI 35-40 dle rozhodnutí lékaře)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onemocnění jater a ledvin 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·       závažný úraz v anamnéze-závažné poranění hlavy, nitrolební krvácení, vnitřní zranění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·       zaměstnání spojené se zvýšenou zátěží ionizujícím zářením nebo chemickými toxickými látkami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Tyto hlavní překážky vstupu do registru dárců krvetvorných buněk nejsou konečným výčtem všech kontraindikací dárcovství.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Jakékoli případné otázky stran vstupu do registru nebo procesu odběru kostní dřeně s Vámi probere koordinátorka.</w:t>
      </w:r>
    </w:p>
    <w:p w:rsidR="00CE5167" w:rsidRPr="00CE5167" w:rsidRDefault="00CE5167" w:rsidP="00CE5167">
      <w:pPr>
        <w:shd w:val="clear" w:color="auto" w:fill="FFFFFF"/>
        <w:spacing w:before="75" w:after="0" w:line="240" w:lineRule="auto"/>
        <w:outlineLvl w:val="2"/>
        <w:rPr>
          <w:rFonts w:ascii="Arial" w:eastAsia="Times New Roman" w:hAnsi="Arial" w:cs="Arial"/>
          <w:color w:val="B90808"/>
          <w:sz w:val="30"/>
          <w:szCs w:val="30"/>
          <w:lang w:eastAsia="cs-CZ"/>
        </w:rPr>
      </w:pPr>
      <w:r w:rsidRPr="00CE5167">
        <w:rPr>
          <w:rFonts w:ascii="Arial" w:eastAsia="Times New Roman" w:hAnsi="Arial" w:cs="Arial"/>
          <w:color w:val="B90808"/>
          <w:sz w:val="30"/>
          <w:szCs w:val="30"/>
          <w:lang w:eastAsia="cs-CZ"/>
        </w:rPr>
        <w:t>Stavy, které dočasně neumožňují podstoupit odběr kostní dřeně</w:t>
      </w:r>
      <w:r w:rsidRPr="00CE5167">
        <w:rPr>
          <w:rFonts w:ascii="Arial" w:eastAsia="Times New Roman" w:hAnsi="Arial" w:cs="Arial"/>
          <w:color w:val="B90808"/>
          <w:sz w:val="30"/>
          <w:szCs w:val="30"/>
          <w:lang w:eastAsia="cs-CZ"/>
        </w:rPr>
        <w:br/>
      </w:r>
      <w:r>
        <w:rPr>
          <w:rFonts w:ascii="Arial" w:eastAsia="Times New Roman" w:hAnsi="Arial" w:cs="Arial"/>
          <w:color w:val="B90808"/>
          <w:sz w:val="30"/>
          <w:szCs w:val="30"/>
          <w:lang w:eastAsia="cs-CZ"/>
        </w:rPr>
        <w:t xml:space="preserve">(nejsou však překážkou členství </w:t>
      </w:r>
      <w:r w:rsidRPr="00CE5167">
        <w:rPr>
          <w:rFonts w:ascii="Arial" w:eastAsia="Times New Roman" w:hAnsi="Arial" w:cs="Arial"/>
          <w:color w:val="B90808"/>
          <w:sz w:val="30"/>
          <w:szCs w:val="30"/>
          <w:lang w:eastAsia="cs-CZ"/>
        </w:rPr>
        <w:t>v registru)</w:t>
      </w:r>
    </w:p>
    <w:p w:rsidR="00CE5167" w:rsidRPr="00CE5167" w:rsidRDefault="00CE5167" w:rsidP="00CE516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těhotenství - jeden rok po porodu</w:t>
      </w:r>
      <w:bookmarkStart w:id="0" w:name="_GoBack"/>
      <w:bookmarkEnd w:id="0"/>
    </w:p>
    <w:p w:rsidR="00CE5167" w:rsidRPr="00CE5167" w:rsidRDefault="00CE5167" w:rsidP="00CE516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aktivní kojení a doba půl roku po ukončení kojení</w:t>
      </w:r>
    </w:p>
    <w:p w:rsidR="00CE5167" w:rsidRPr="00CE5167" w:rsidRDefault="00CE5167" w:rsidP="00CE516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endoskopické vyšetření  </w:t>
      </w:r>
    </w:p>
    <w:p w:rsidR="00CE5167" w:rsidRPr="00CE5167" w:rsidRDefault="00CE5167" w:rsidP="00CE516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závažnější chirurgický zákrok</w:t>
      </w:r>
    </w:p>
    <w:p w:rsidR="00CE5167" w:rsidRPr="00CE5167" w:rsidRDefault="00CE5167" w:rsidP="00CE516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tetování, piercing, akupunktura</w:t>
      </w:r>
    </w:p>
    <w:p w:rsidR="00CE5167" w:rsidRPr="00CE5167" w:rsidRDefault="00CE5167" w:rsidP="00CE516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prodělané infekční onemocnění (borelióza, toxoplazmóza, mononukleóza a jiné)</w:t>
      </w:r>
    </w:p>
    <w:p w:rsidR="00CE5167" w:rsidRPr="00CE5167" w:rsidRDefault="00CE5167" w:rsidP="00CE516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očkování živou vakcínou     </w:t>
      </w:r>
    </w:p>
    <w:p w:rsidR="00CE5167" w:rsidRPr="00CE5167" w:rsidRDefault="00CE5167" w:rsidP="00CE516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pobyt v tropických oblastech</w:t>
      </w:r>
    </w:p>
    <w:p w:rsidR="00CE5167" w:rsidRPr="00CE5167" w:rsidRDefault="00CE5167" w:rsidP="00CE516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51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pobyt v nápravném zařízení, psychiatrické léčebně </w:t>
      </w:r>
    </w:p>
    <w:p w:rsidR="00CE5167" w:rsidRPr="00CE5167" w:rsidRDefault="00CE5167" w:rsidP="00CE5167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90371" w:rsidRDefault="00CE5167"/>
    <w:sectPr w:rsidR="00090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492"/>
    <w:multiLevelType w:val="multilevel"/>
    <w:tmpl w:val="BB46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67"/>
    <w:rsid w:val="00CE5167"/>
    <w:rsid w:val="00FE5380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B771"/>
  <w15:chartTrackingRefBased/>
  <w15:docId w15:val="{0F9F79A3-6E53-4222-9BA0-F7944DDE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E51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E51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E516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E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516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 klinické a experimentální medicíny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Hammerová</dc:creator>
  <cp:keywords/>
  <dc:description/>
  <cp:lastModifiedBy>Simona Hammerová</cp:lastModifiedBy>
  <cp:revision>1</cp:revision>
  <cp:lastPrinted>2021-04-30T08:22:00Z</cp:lastPrinted>
  <dcterms:created xsi:type="dcterms:W3CDTF">2021-04-30T08:20:00Z</dcterms:created>
  <dcterms:modified xsi:type="dcterms:W3CDTF">2021-04-30T08:29:00Z</dcterms:modified>
</cp:coreProperties>
</file>